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8B5D" w14:textId="4509B5BE" w:rsidR="00E22C02" w:rsidRDefault="00E22C02" w:rsidP="00E22C02">
      <w:r>
        <w:t>Every patient is unique, with different levels of understanding of the use of virtual modalities in health care, different levels of access to them (and to in-person options for care), different preferences in terms of their use, and differing ability to effectively use them. This variation has an impact on how successfully available modalities may be used for different care conditions and circumstances.</w:t>
      </w:r>
    </w:p>
    <w:p w14:paraId="208E0361" w14:textId="77777777" w:rsidR="00E22C02" w:rsidRDefault="00E22C02" w:rsidP="00E22C02"/>
    <w:p w14:paraId="54D72A21" w14:textId="0324736A" w:rsidR="00E22C02" w:rsidRDefault="00E22C02" w:rsidP="00E22C02">
      <w:proofErr w:type="gramStart"/>
      <w:r>
        <w:t>In order to</w:t>
      </w:r>
      <w:proofErr w:type="gramEnd"/>
      <w:r>
        <w:t xml:space="preserve"> optimize patient, clinician and office staff experience at the time that a patient has a concern that needs to be addressed, it would be helpful to minimize, eliminate, or address some of these variables in advance, if possible, and to agree on a general approach. Some of the patient-related variables to consider are listed in Table 3.</w:t>
      </w:r>
    </w:p>
    <w:p w14:paraId="286C4E73" w14:textId="77777777" w:rsidR="00E22C02" w:rsidRDefault="00E22C02" w:rsidP="00E22C02"/>
    <w:p w14:paraId="6DBCFA7E" w14:textId="5D78086E" w:rsidR="005056D7" w:rsidRDefault="00E22C02" w:rsidP="00E22C02">
      <w:r>
        <w:t>Table 3. Patient barriers and drivers to virtual care</w:t>
      </w:r>
    </w:p>
    <w:p w14:paraId="7EAE1D18" w14:textId="0551F6AC" w:rsidR="00AD6EC0" w:rsidRDefault="00AD6EC0" w:rsidP="005056D7"/>
    <w:p w14:paraId="3470E90B" w14:textId="77777777" w:rsidR="00E22C02" w:rsidRDefault="00E22C02" w:rsidP="005056D7"/>
    <w:tbl>
      <w:tblPr>
        <w:tblW w:w="9900" w:type="dxa"/>
        <w:tblInd w:w="-5" w:type="dxa"/>
        <w:tblBorders>
          <w:top w:val="single" w:sz="4" w:space="0" w:color="99999E"/>
          <w:left w:val="single" w:sz="4" w:space="0" w:color="99999E"/>
          <w:bottom w:val="single" w:sz="4" w:space="0" w:color="99999E"/>
          <w:right w:val="single" w:sz="4" w:space="0" w:color="99999E"/>
          <w:insideH w:val="single" w:sz="4" w:space="0" w:color="99999E"/>
          <w:insideV w:val="single" w:sz="4" w:space="0" w:color="99999E"/>
        </w:tblBorders>
        <w:tblLayout w:type="fixed"/>
        <w:tblCellMar>
          <w:top w:w="18" w:type="dxa"/>
          <w:left w:w="18" w:type="dxa"/>
          <w:bottom w:w="18" w:type="dxa"/>
          <w:right w:w="18" w:type="dxa"/>
        </w:tblCellMar>
        <w:tblLook w:val="01E0" w:firstRow="1" w:lastRow="1" w:firstColumn="1" w:lastColumn="1" w:noHBand="0" w:noVBand="0"/>
      </w:tblPr>
      <w:tblGrid>
        <w:gridCol w:w="6480"/>
        <w:gridCol w:w="1710"/>
        <w:gridCol w:w="1710"/>
      </w:tblGrid>
      <w:tr w:rsidR="00E22C02" w:rsidRPr="00A20D89" w14:paraId="13760F79" w14:textId="77777777" w:rsidTr="00A20D89">
        <w:trPr>
          <w:trHeight w:val="516"/>
        </w:trPr>
        <w:tc>
          <w:tcPr>
            <w:tcW w:w="6480" w:type="dxa"/>
            <w:shd w:val="clear" w:color="auto" w:fill="E7F4FA"/>
            <w:tcMar>
              <w:top w:w="144" w:type="dxa"/>
              <w:left w:w="144" w:type="dxa"/>
              <w:bottom w:w="144" w:type="dxa"/>
              <w:right w:w="144" w:type="dxa"/>
            </w:tcMar>
          </w:tcPr>
          <w:p w14:paraId="52E2C4F1"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Variable</w:t>
            </w:r>
          </w:p>
        </w:tc>
        <w:tc>
          <w:tcPr>
            <w:tcW w:w="1710" w:type="dxa"/>
            <w:shd w:val="clear" w:color="auto" w:fill="E7F4FA"/>
            <w:tcMar>
              <w:top w:w="144" w:type="dxa"/>
              <w:left w:w="144" w:type="dxa"/>
              <w:bottom w:w="144" w:type="dxa"/>
              <w:right w:w="144" w:type="dxa"/>
            </w:tcMar>
          </w:tcPr>
          <w:p w14:paraId="60AA2EC3"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Virtual Care Driver</w:t>
            </w:r>
          </w:p>
        </w:tc>
        <w:tc>
          <w:tcPr>
            <w:tcW w:w="1710" w:type="dxa"/>
            <w:shd w:val="clear" w:color="auto" w:fill="E7F4FA"/>
            <w:tcMar>
              <w:top w:w="144" w:type="dxa"/>
              <w:left w:w="144" w:type="dxa"/>
              <w:bottom w:w="144" w:type="dxa"/>
              <w:right w:w="144" w:type="dxa"/>
            </w:tcMar>
          </w:tcPr>
          <w:p w14:paraId="7BD0C72D"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Virtual Care Barrier</w:t>
            </w:r>
          </w:p>
        </w:tc>
      </w:tr>
      <w:tr w:rsidR="00E22C02" w:rsidRPr="00A20D89" w14:paraId="2EDD0DE4" w14:textId="77777777" w:rsidTr="00A20D89">
        <w:trPr>
          <w:trHeight w:val="566"/>
        </w:trPr>
        <w:tc>
          <w:tcPr>
            <w:tcW w:w="6480" w:type="dxa"/>
            <w:tcMar>
              <w:top w:w="144" w:type="dxa"/>
              <w:left w:w="144" w:type="dxa"/>
              <w:bottom w:w="144" w:type="dxa"/>
              <w:right w:w="144" w:type="dxa"/>
            </w:tcMar>
          </w:tcPr>
          <w:p w14:paraId="1F3E1F99" w14:textId="062F4CF6"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prefers to use virtual care for some care-related needs</w:t>
            </w:r>
          </w:p>
        </w:tc>
        <w:tc>
          <w:tcPr>
            <w:tcW w:w="1710" w:type="dxa"/>
            <w:tcMar>
              <w:top w:w="144" w:type="dxa"/>
              <w:left w:w="144" w:type="dxa"/>
              <w:bottom w:w="144" w:type="dxa"/>
              <w:right w:w="144" w:type="dxa"/>
            </w:tcMar>
          </w:tcPr>
          <w:p w14:paraId="2D4EE961" w14:textId="5FA835E8"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c>
          <w:tcPr>
            <w:tcW w:w="1710" w:type="dxa"/>
            <w:tcMar>
              <w:top w:w="144" w:type="dxa"/>
              <w:left w:w="144" w:type="dxa"/>
              <w:bottom w:w="144" w:type="dxa"/>
              <w:right w:w="144" w:type="dxa"/>
            </w:tcMar>
          </w:tcPr>
          <w:p w14:paraId="475BFBF0" w14:textId="77777777" w:rsidR="00E22C02" w:rsidRPr="00A20D89" w:rsidRDefault="00E22C02" w:rsidP="00A20D89">
            <w:pPr>
              <w:rPr>
                <w:rFonts w:asciiTheme="minorHAnsi" w:hAnsiTheme="minorHAnsi" w:cstheme="minorHAnsi"/>
                <w:szCs w:val="24"/>
              </w:rPr>
            </w:pPr>
          </w:p>
        </w:tc>
      </w:tr>
      <w:tr w:rsidR="00E22C02" w:rsidRPr="00A20D89" w14:paraId="43E4EC5E" w14:textId="77777777" w:rsidTr="00A20D89">
        <w:trPr>
          <w:trHeight w:val="755"/>
        </w:trPr>
        <w:tc>
          <w:tcPr>
            <w:tcW w:w="6480" w:type="dxa"/>
            <w:tcMar>
              <w:top w:w="144" w:type="dxa"/>
              <w:left w:w="144" w:type="dxa"/>
              <w:bottom w:w="144" w:type="dxa"/>
              <w:right w:w="144" w:type="dxa"/>
            </w:tcMar>
          </w:tcPr>
          <w:p w14:paraId="333C4DD4"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lives at a distance from primary care practice or has limited access to transportation</w:t>
            </w:r>
          </w:p>
        </w:tc>
        <w:tc>
          <w:tcPr>
            <w:tcW w:w="1710" w:type="dxa"/>
            <w:tcMar>
              <w:top w:w="144" w:type="dxa"/>
              <w:left w:w="144" w:type="dxa"/>
              <w:bottom w:w="144" w:type="dxa"/>
              <w:right w:w="144" w:type="dxa"/>
            </w:tcMar>
          </w:tcPr>
          <w:p w14:paraId="2B8292B0"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c>
          <w:tcPr>
            <w:tcW w:w="1710" w:type="dxa"/>
            <w:tcMar>
              <w:top w:w="144" w:type="dxa"/>
              <w:left w:w="144" w:type="dxa"/>
              <w:bottom w:w="144" w:type="dxa"/>
              <w:right w:w="144" w:type="dxa"/>
            </w:tcMar>
          </w:tcPr>
          <w:p w14:paraId="4B422727" w14:textId="77777777" w:rsidR="00E22C02" w:rsidRPr="00A20D89" w:rsidRDefault="00E22C02" w:rsidP="00A20D89">
            <w:pPr>
              <w:rPr>
                <w:rFonts w:asciiTheme="minorHAnsi" w:hAnsiTheme="minorHAnsi" w:cstheme="minorHAnsi"/>
                <w:szCs w:val="24"/>
              </w:rPr>
            </w:pPr>
          </w:p>
        </w:tc>
      </w:tr>
      <w:tr w:rsidR="00E22C02" w:rsidRPr="00A20D89" w14:paraId="432501FA" w14:textId="77777777" w:rsidTr="00A20D89">
        <w:trPr>
          <w:trHeight w:val="692"/>
        </w:trPr>
        <w:tc>
          <w:tcPr>
            <w:tcW w:w="6480" w:type="dxa"/>
            <w:tcMar>
              <w:top w:w="144" w:type="dxa"/>
              <w:left w:w="144" w:type="dxa"/>
              <w:bottom w:w="144" w:type="dxa"/>
              <w:right w:w="144" w:type="dxa"/>
            </w:tcMar>
          </w:tcPr>
          <w:p w14:paraId="404CACE3"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mobility issues or otherwise is constrained to place (e.g., small children, provides elder care)</w:t>
            </w:r>
          </w:p>
        </w:tc>
        <w:tc>
          <w:tcPr>
            <w:tcW w:w="1710" w:type="dxa"/>
            <w:tcMar>
              <w:top w:w="144" w:type="dxa"/>
              <w:left w:w="144" w:type="dxa"/>
              <w:bottom w:w="144" w:type="dxa"/>
              <w:right w:w="144" w:type="dxa"/>
            </w:tcMar>
          </w:tcPr>
          <w:p w14:paraId="58915907"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c>
          <w:tcPr>
            <w:tcW w:w="1710" w:type="dxa"/>
            <w:tcMar>
              <w:top w:w="144" w:type="dxa"/>
              <w:left w:w="144" w:type="dxa"/>
              <w:bottom w:w="144" w:type="dxa"/>
              <w:right w:w="144" w:type="dxa"/>
            </w:tcMar>
          </w:tcPr>
          <w:p w14:paraId="5B115634" w14:textId="77777777" w:rsidR="00E22C02" w:rsidRPr="00A20D89" w:rsidRDefault="00E22C02" w:rsidP="00A20D89">
            <w:pPr>
              <w:rPr>
                <w:rFonts w:asciiTheme="minorHAnsi" w:hAnsiTheme="minorHAnsi" w:cstheme="minorHAnsi"/>
                <w:szCs w:val="24"/>
              </w:rPr>
            </w:pPr>
          </w:p>
        </w:tc>
      </w:tr>
      <w:tr w:rsidR="00E22C02" w:rsidRPr="00A20D89" w14:paraId="518F36FA" w14:textId="77777777" w:rsidTr="00A20D89">
        <w:trPr>
          <w:trHeight w:val="692"/>
        </w:trPr>
        <w:tc>
          <w:tcPr>
            <w:tcW w:w="6480" w:type="dxa"/>
            <w:tcMar>
              <w:top w:w="144" w:type="dxa"/>
              <w:left w:w="144" w:type="dxa"/>
              <w:bottom w:w="144" w:type="dxa"/>
              <w:right w:w="144" w:type="dxa"/>
            </w:tcMar>
          </w:tcPr>
          <w:p w14:paraId="7DC99BAC"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limited capacity to understand the benefits and risks of virtual care</w:t>
            </w:r>
          </w:p>
        </w:tc>
        <w:tc>
          <w:tcPr>
            <w:tcW w:w="1710" w:type="dxa"/>
            <w:tcMar>
              <w:top w:w="144" w:type="dxa"/>
              <w:left w:w="144" w:type="dxa"/>
              <w:bottom w:w="144" w:type="dxa"/>
              <w:right w:w="144" w:type="dxa"/>
            </w:tcMar>
          </w:tcPr>
          <w:p w14:paraId="3A661D1B"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7A7765F4"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064B5BB0" w14:textId="77777777" w:rsidTr="00A20D89">
        <w:trPr>
          <w:trHeight w:val="539"/>
        </w:trPr>
        <w:tc>
          <w:tcPr>
            <w:tcW w:w="6480" w:type="dxa"/>
            <w:tcMar>
              <w:top w:w="144" w:type="dxa"/>
              <w:left w:w="144" w:type="dxa"/>
              <w:bottom w:w="144" w:type="dxa"/>
              <w:right w:w="144" w:type="dxa"/>
            </w:tcMar>
          </w:tcPr>
          <w:p w14:paraId="7E3D000A"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limited access to connectivity/virtual care tools</w:t>
            </w:r>
          </w:p>
        </w:tc>
        <w:tc>
          <w:tcPr>
            <w:tcW w:w="1710" w:type="dxa"/>
            <w:tcMar>
              <w:top w:w="144" w:type="dxa"/>
              <w:left w:w="144" w:type="dxa"/>
              <w:bottom w:w="144" w:type="dxa"/>
              <w:right w:w="144" w:type="dxa"/>
            </w:tcMar>
          </w:tcPr>
          <w:p w14:paraId="05377D11"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3CC5AB59"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7F17243D" w14:textId="77777777" w:rsidTr="00A20D89">
        <w:trPr>
          <w:trHeight w:val="746"/>
        </w:trPr>
        <w:tc>
          <w:tcPr>
            <w:tcW w:w="6480" w:type="dxa"/>
            <w:tcMar>
              <w:top w:w="144" w:type="dxa"/>
              <w:left w:w="144" w:type="dxa"/>
              <w:bottom w:w="144" w:type="dxa"/>
              <w:right w:w="144" w:type="dxa"/>
            </w:tcMar>
          </w:tcPr>
          <w:p w14:paraId="14092710"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Patient’s home environment not conducive to virtual visit (e.g., no private space)</w:t>
            </w:r>
          </w:p>
        </w:tc>
        <w:tc>
          <w:tcPr>
            <w:tcW w:w="1710" w:type="dxa"/>
            <w:tcMar>
              <w:top w:w="144" w:type="dxa"/>
              <w:left w:w="144" w:type="dxa"/>
              <w:bottom w:w="144" w:type="dxa"/>
              <w:right w:w="144" w:type="dxa"/>
            </w:tcMar>
          </w:tcPr>
          <w:p w14:paraId="3E2C4629"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438C7952"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1B61013A" w14:textId="77777777" w:rsidTr="00A20D89">
        <w:trPr>
          <w:trHeight w:val="332"/>
        </w:trPr>
        <w:tc>
          <w:tcPr>
            <w:tcW w:w="6480" w:type="dxa"/>
            <w:tcMar>
              <w:top w:w="144" w:type="dxa"/>
              <w:left w:w="144" w:type="dxa"/>
              <w:bottom w:w="144" w:type="dxa"/>
              <w:right w:w="144" w:type="dxa"/>
            </w:tcMar>
          </w:tcPr>
          <w:p w14:paraId="35D6361E"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limited digital literacy</w:t>
            </w:r>
          </w:p>
        </w:tc>
        <w:tc>
          <w:tcPr>
            <w:tcW w:w="1710" w:type="dxa"/>
            <w:tcMar>
              <w:top w:w="144" w:type="dxa"/>
              <w:left w:w="144" w:type="dxa"/>
              <w:bottom w:w="144" w:type="dxa"/>
              <w:right w:w="144" w:type="dxa"/>
            </w:tcMar>
          </w:tcPr>
          <w:p w14:paraId="75E6DD69"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34C8EE0C"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22A8DC72" w14:textId="77777777" w:rsidTr="00A20D89">
        <w:trPr>
          <w:trHeight w:val="656"/>
        </w:trPr>
        <w:tc>
          <w:tcPr>
            <w:tcW w:w="6480" w:type="dxa"/>
            <w:tcMar>
              <w:top w:w="144" w:type="dxa"/>
              <w:left w:w="144" w:type="dxa"/>
              <w:bottom w:w="144" w:type="dxa"/>
              <w:right w:w="144" w:type="dxa"/>
            </w:tcMar>
          </w:tcPr>
          <w:p w14:paraId="7378D0C1"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lastRenderedPageBreak/>
              <w:t>Patient speaks a language other than that normally spoken at the primary care practice</w:t>
            </w:r>
          </w:p>
        </w:tc>
        <w:tc>
          <w:tcPr>
            <w:tcW w:w="1710" w:type="dxa"/>
            <w:tcMar>
              <w:top w:w="144" w:type="dxa"/>
              <w:left w:w="144" w:type="dxa"/>
              <w:bottom w:w="144" w:type="dxa"/>
              <w:right w:w="144" w:type="dxa"/>
            </w:tcMar>
          </w:tcPr>
          <w:p w14:paraId="7CED6F46"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3BD2D7AD"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1D077B8F" w14:textId="77777777" w:rsidTr="00A20D89">
        <w:trPr>
          <w:trHeight w:val="422"/>
        </w:trPr>
        <w:tc>
          <w:tcPr>
            <w:tcW w:w="6480" w:type="dxa"/>
            <w:tcMar>
              <w:top w:w="144" w:type="dxa"/>
              <w:left w:w="144" w:type="dxa"/>
              <w:bottom w:w="144" w:type="dxa"/>
              <w:right w:w="144" w:type="dxa"/>
            </w:tcMar>
          </w:tcPr>
          <w:p w14:paraId="431DB7AA"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hearing deficits</w:t>
            </w:r>
          </w:p>
        </w:tc>
        <w:tc>
          <w:tcPr>
            <w:tcW w:w="1710" w:type="dxa"/>
            <w:tcMar>
              <w:top w:w="144" w:type="dxa"/>
              <w:left w:w="144" w:type="dxa"/>
              <w:bottom w:w="144" w:type="dxa"/>
              <w:right w:w="144" w:type="dxa"/>
            </w:tcMar>
          </w:tcPr>
          <w:p w14:paraId="661BBBB7"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50FD35D8"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55765E43" w14:textId="77777777" w:rsidTr="00A20D89">
        <w:trPr>
          <w:trHeight w:val="152"/>
        </w:trPr>
        <w:tc>
          <w:tcPr>
            <w:tcW w:w="6480" w:type="dxa"/>
            <w:tcMar>
              <w:top w:w="144" w:type="dxa"/>
              <w:left w:w="144" w:type="dxa"/>
              <w:bottom w:w="144" w:type="dxa"/>
              <w:right w:w="144" w:type="dxa"/>
            </w:tcMar>
          </w:tcPr>
          <w:p w14:paraId="431BD97E"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vision deficits</w:t>
            </w:r>
          </w:p>
        </w:tc>
        <w:tc>
          <w:tcPr>
            <w:tcW w:w="1710" w:type="dxa"/>
            <w:tcMar>
              <w:top w:w="144" w:type="dxa"/>
              <w:left w:w="144" w:type="dxa"/>
              <w:bottom w:w="144" w:type="dxa"/>
              <w:right w:w="144" w:type="dxa"/>
            </w:tcMar>
          </w:tcPr>
          <w:p w14:paraId="1E7387A0"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5126B83A"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1672A532" w14:textId="77777777" w:rsidTr="00A20D89">
        <w:trPr>
          <w:trHeight w:val="516"/>
        </w:trPr>
        <w:tc>
          <w:tcPr>
            <w:tcW w:w="6480" w:type="dxa"/>
            <w:tcMar>
              <w:top w:w="144" w:type="dxa"/>
              <w:left w:w="144" w:type="dxa"/>
              <w:bottom w:w="144" w:type="dxa"/>
              <w:right w:w="144" w:type="dxa"/>
            </w:tcMar>
          </w:tcPr>
          <w:p w14:paraId="390B1E56"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a degree of cognitive impairment</w:t>
            </w:r>
          </w:p>
        </w:tc>
        <w:tc>
          <w:tcPr>
            <w:tcW w:w="1710" w:type="dxa"/>
            <w:tcMar>
              <w:top w:w="144" w:type="dxa"/>
              <w:left w:w="144" w:type="dxa"/>
              <w:bottom w:w="144" w:type="dxa"/>
              <w:right w:w="144" w:type="dxa"/>
            </w:tcMar>
          </w:tcPr>
          <w:p w14:paraId="7A979597"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2452C595"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51B6983B" w14:textId="77777777" w:rsidTr="00A20D89">
        <w:trPr>
          <w:trHeight w:val="458"/>
        </w:trPr>
        <w:tc>
          <w:tcPr>
            <w:tcW w:w="6480" w:type="dxa"/>
            <w:tcMar>
              <w:top w:w="144" w:type="dxa"/>
              <w:left w:w="144" w:type="dxa"/>
              <w:bottom w:w="144" w:type="dxa"/>
              <w:right w:w="144" w:type="dxa"/>
            </w:tcMar>
          </w:tcPr>
          <w:p w14:paraId="47382E41"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challenges with speech or with articulating verbally</w:t>
            </w:r>
          </w:p>
        </w:tc>
        <w:tc>
          <w:tcPr>
            <w:tcW w:w="1710" w:type="dxa"/>
            <w:tcMar>
              <w:top w:w="144" w:type="dxa"/>
              <w:left w:w="144" w:type="dxa"/>
              <w:bottom w:w="144" w:type="dxa"/>
              <w:right w:w="144" w:type="dxa"/>
            </w:tcMar>
          </w:tcPr>
          <w:p w14:paraId="51534B34"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0378F0B2"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r w:rsidR="00E22C02" w:rsidRPr="00A20D89" w14:paraId="0CB953F2" w14:textId="77777777" w:rsidTr="00A20D89">
        <w:trPr>
          <w:trHeight w:val="516"/>
        </w:trPr>
        <w:tc>
          <w:tcPr>
            <w:tcW w:w="6480" w:type="dxa"/>
            <w:tcMar>
              <w:top w:w="144" w:type="dxa"/>
              <w:left w:w="144" w:type="dxa"/>
              <w:bottom w:w="144" w:type="dxa"/>
              <w:right w:w="144" w:type="dxa"/>
            </w:tcMar>
          </w:tcPr>
          <w:p w14:paraId="64FAF8C8"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Patient has limited/issues with manual dexterity</w:t>
            </w:r>
          </w:p>
        </w:tc>
        <w:tc>
          <w:tcPr>
            <w:tcW w:w="1710" w:type="dxa"/>
            <w:tcMar>
              <w:top w:w="144" w:type="dxa"/>
              <w:left w:w="144" w:type="dxa"/>
              <w:bottom w:w="144" w:type="dxa"/>
              <w:right w:w="144" w:type="dxa"/>
            </w:tcMar>
          </w:tcPr>
          <w:p w14:paraId="0B26F956" w14:textId="77777777" w:rsidR="00E22C02" w:rsidRPr="00A20D89" w:rsidRDefault="00E22C02" w:rsidP="00A20D89">
            <w:pPr>
              <w:rPr>
                <w:rFonts w:asciiTheme="minorHAnsi" w:hAnsiTheme="minorHAnsi" w:cstheme="minorHAnsi"/>
                <w:szCs w:val="24"/>
              </w:rPr>
            </w:pPr>
          </w:p>
        </w:tc>
        <w:tc>
          <w:tcPr>
            <w:tcW w:w="1710" w:type="dxa"/>
            <w:tcMar>
              <w:top w:w="144" w:type="dxa"/>
              <w:left w:w="144" w:type="dxa"/>
              <w:bottom w:w="144" w:type="dxa"/>
              <w:right w:w="144" w:type="dxa"/>
            </w:tcMar>
          </w:tcPr>
          <w:p w14:paraId="71380233" w14:textId="77777777" w:rsidR="00E22C02" w:rsidRPr="00A20D89" w:rsidRDefault="00E22C02" w:rsidP="00A20D89">
            <w:pPr>
              <w:rPr>
                <w:rFonts w:asciiTheme="minorHAnsi" w:hAnsiTheme="minorHAnsi" w:cstheme="minorHAnsi"/>
                <w:szCs w:val="24"/>
              </w:rPr>
            </w:pPr>
            <w:r w:rsidRPr="00A20D89">
              <w:rPr>
                <w:rFonts w:asciiTheme="minorHAnsi" w:hAnsiTheme="minorHAnsi" w:cstheme="minorHAnsi"/>
                <w:szCs w:val="24"/>
              </w:rPr>
              <w:t>√</w:t>
            </w:r>
          </w:p>
        </w:tc>
      </w:tr>
    </w:tbl>
    <w:p w14:paraId="7FAB3E4D" w14:textId="49B2BEEB" w:rsidR="00AD6EC0" w:rsidRDefault="00AD6EC0" w:rsidP="005056D7"/>
    <w:p w14:paraId="69531F86" w14:textId="455F1C9D" w:rsidR="00E22C02" w:rsidRPr="00546618" w:rsidRDefault="00E22C02" w:rsidP="00546618">
      <w:r w:rsidRPr="00546618">
        <w:t>Some patients may need accommodation to use virtual modalities or may experience a better outcome with an in-person experience. Accommodation to support the use of virtual modalities may be satisfied by inviting a third party to assist a patient, having a patient attend a site that provides patient support or by assessing for more specific needs and attending to them through a purpose-built solution. Further work is needed in developing guidance to support clinicians to assist patients who have unique needs.</w:t>
      </w:r>
    </w:p>
    <w:p w14:paraId="6CD97DBC" w14:textId="6EB9992B" w:rsidR="00E22C02" w:rsidRPr="00546618" w:rsidRDefault="00E22C02" w:rsidP="00546618"/>
    <w:p w14:paraId="6135FAD5" w14:textId="24A4AEB2" w:rsidR="00E22C02" w:rsidRPr="00546618" w:rsidRDefault="00E22C02" w:rsidP="00546618">
      <w:pPr>
        <w:rPr>
          <w:szCs w:val="24"/>
        </w:rPr>
      </w:pPr>
      <w:r w:rsidRPr="00546618">
        <w:t>When determining a person’s suitability for virtual care, other considerations include clinical, psychosocial, socioeconomic, cultural, and social identity needs and preferences. A recent study suggests that newcomers, people living with a lower income, and those reporting poor or fair health have a stronger preference for and comfort with in-person primary care.</w:t>
      </w:r>
      <w:r w:rsidRPr="00546618">
        <w:rPr>
          <w:szCs w:val="24"/>
        </w:rPr>
        <w:t xml:space="preserve"> </w:t>
      </w:r>
      <w:r w:rsidRPr="00546618">
        <w:rPr>
          <w:rStyle w:val="FootnoteReference"/>
          <w:szCs w:val="24"/>
        </w:rPr>
        <w:footnoteReference w:id="1"/>
      </w:r>
    </w:p>
    <w:p w14:paraId="1340C9CE" w14:textId="378AAF5D" w:rsidR="00E22C02" w:rsidRDefault="00E22C02" w:rsidP="005056D7">
      <w:pPr>
        <w:rPr>
          <w:sz w:val="14"/>
          <w:szCs w:val="14"/>
        </w:rPr>
      </w:pPr>
    </w:p>
    <w:p w14:paraId="5A398BFA" w14:textId="6CBBECE1" w:rsidR="00E22C02" w:rsidRDefault="00E22C02" w:rsidP="005056D7">
      <w:pPr>
        <w:rPr>
          <w:sz w:val="14"/>
          <w:szCs w:val="14"/>
        </w:rPr>
      </w:pPr>
    </w:p>
    <w:p w14:paraId="30B688D3" w14:textId="77777777" w:rsidR="00E22C02" w:rsidRDefault="00E22C02" w:rsidP="005056D7">
      <w:pPr>
        <w:rPr>
          <w:sz w:val="14"/>
          <w:szCs w:val="14"/>
        </w:rPr>
      </w:pPr>
    </w:p>
    <w:p w14:paraId="4BB94140" w14:textId="77777777" w:rsidR="00E22C02" w:rsidRDefault="00E22C02" w:rsidP="005056D7"/>
    <w:p w14:paraId="07041F0D" w14:textId="29CC7899" w:rsidR="00E22C02" w:rsidRPr="00E22C02" w:rsidRDefault="00E22C02" w:rsidP="00E22C02">
      <w:pPr>
        <w:rPr>
          <w:i/>
          <w:iCs/>
        </w:rPr>
      </w:pPr>
      <w:r>
        <w:rPr>
          <w:rFonts w:asciiTheme="minorHAnsi" w:hAnsiTheme="minorHAnsi" w:cstheme="minorHAnsi"/>
          <w:i/>
          <w:iCs/>
        </w:rPr>
        <w:t>Original content is the c</w:t>
      </w:r>
      <w:r w:rsidR="00AD6EC0" w:rsidRPr="00E22C02">
        <w:rPr>
          <w:rFonts w:asciiTheme="minorHAnsi" w:hAnsiTheme="minorHAnsi" w:cstheme="minorHAnsi"/>
          <w:i/>
          <w:iCs/>
        </w:rPr>
        <w:t>ourtesy of Ontario Health</w:t>
      </w:r>
      <w:r w:rsidRPr="00E22C02">
        <w:rPr>
          <w:rFonts w:asciiTheme="minorHAnsi" w:hAnsiTheme="minorHAnsi" w:cstheme="minorHAnsi"/>
          <w:i/>
          <w:iCs/>
        </w:rPr>
        <w:t xml:space="preserve">: </w:t>
      </w:r>
      <w:hyperlink r:id="rId8" w:history="1">
        <w:r w:rsidRPr="00E22C02">
          <w:rPr>
            <w:rStyle w:val="Hyperlink"/>
            <w:i/>
            <w:iCs/>
          </w:rPr>
          <w:t xml:space="preserve">Clinically Appropriate Use of Virtual Care in Primary Care </w:t>
        </w:r>
        <w:r w:rsidRPr="00E22C02">
          <w:rPr>
            <w:rStyle w:val="Hyperlink"/>
            <w:i/>
            <w:iCs/>
          </w:rPr>
          <w:t>G</w:t>
        </w:r>
        <w:r w:rsidRPr="00E22C02">
          <w:rPr>
            <w:rStyle w:val="Hyperlink"/>
            <w:i/>
            <w:iCs/>
          </w:rPr>
          <w:t xml:space="preserve">uidance Reference </w:t>
        </w:r>
        <w:r w:rsidRPr="00E22C02">
          <w:rPr>
            <w:rStyle w:val="Hyperlink"/>
            <w:i/>
            <w:iCs/>
          </w:rPr>
          <w:t>(</w:t>
        </w:r>
        <w:r w:rsidRPr="00E22C02">
          <w:rPr>
            <w:rStyle w:val="Hyperlink"/>
            <w:i/>
            <w:iCs/>
          </w:rPr>
          <w:t>November 2022</w:t>
        </w:r>
        <w:r w:rsidRPr="00E22C02">
          <w:rPr>
            <w:rStyle w:val="Hyperlink"/>
            <w:i/>
            <w:iCs/>
          </w:rPr>
          <w:t>)</w:t>
        </w:r>
      </w:hyperlink>
    </w:p>
    <w:p w14:paraId="2B75C25A" w14:textId="50BC6B45" w:rsidR="00E22C02" w:rsidRPr="00E22C02" w:rsidRDefault="00E22C02" w:rsidP="00AD6EC0">
      <w:pPr>
        <w:rPr>
          <w:rFonts w:asciiTheme="minorHAnsi" w:hAnsiTheme="minorHAnsi" w:cstheme="minorHAnsi"/>
          <w:i/>
          <w:iCs/>
        </w:rPr>
      </w:pPr>
    </w:p>
    <w:sectPr w:rsidR="00E22C02" w:rsidRPr="00E22C02" w:rsidSect="005056D7">
      <w:headerReference w:type="default" r:id="rId9"/>
      <w:pgSz w:w="12240" w:h="15840"/>
      <w:pgMar w:top="27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9AE0" w14:textId="77777777" w:rsidR="005056D7" w:rsidRDefault="005056D7" w:rsidP="005056D7">
      <w:r>
        <w:separator/>
      </w:r>
    </w:p>
  </w:endnote>
  <w:endnote w:type="continuationSeparator" w:id="0">
    <w:p w14:paraId="6FE0D698" w14:textId="77777777" w:rsidR="005056D7" w:rsidRDefault="005056D7" w:rsidP="0050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C902" w14:textId="77777777" w:rsidR="005056D7" w:rsidRDefault="005056D7" w:rsidP="005056D7">
      <w:r>
        <w:separator/>
      </w:r>
    </w:p>
  </w:footnote>
  <w:footnote w:type="continuationSeparator" w:id="0">
    <w:p w14:paraId="34927025" w14:textId="77777777" w:rsidR="005056D7" w:rsidRDefault="005056D7" w:rsidP="005056D7">
      <w:r>
        <w:continuationSeparator/>
      </w:r>
    </w:p>
  </w:footnote>
  <w:footnote w:id="1">
    <w:p w14:paraId="5CCEADBE" w14:textId="25256526" w:rsidR="00E22C02" w:rsidRPr="00E22C02" w:rsidRDefault="00E22C02">
      <w:pPr>
        <w:pStyle w:val="FootnoteText"/>
        <w:rPr>
          <w:lang w:val="en-CA"/>
        </w:rPr>
      </w:pPr>
      <w:r>
        <w:rPr>
          <w:rStyle w:val="FootnoteReference"/>
        </w:rPr>
        <w:footnoteRef/>
      </w:r>
      <w:r>
        <w:t xml:space="preserve"> </w:t>
      </w:r>
      <w:r>
        <w:rPr>
          <w:sz w:val="22"/>
          <w:szCs w:val="22"/>
        </w:rPr>
        <w:t xml:space="preserve">Agarwal P, Wang R, Meany C, </w:t>
      </w:r>
      <w:proofErr w:type="spellStart"/>
      <w:r>
        <w:rPr>
          <w:sz w:val="22"/>
          <w:szCs w:val="22"/>
        </w:rPr>
        <w:t>Walji</w:t>
      </w:r>
      <w:proofErr w:type="spellEnd"/>
      <w:r>
        <w:rPr>
          <w:sz w:val="22"/>
          <w:szCs w:val="22"/>
        </w:rPr>
        <w:t xml:space="preserve"> S, </w:t>
      </w:r>
      <w:proofErr w:type="spellStart"/>
      <w:r>
        <w:rPr>
          <w:sz w:val="22"/>
          <w:szCs w:val="22"/>
        </w:rPr>
        <w:t>Damji</w:t>
      </w:r>
      <w:proofErr w:type="spellEnd"/>
      <w:r>
        <w:rPr>
          <w:sz w:val="22"/>
          <w:szCs w:val="22"/>
        </w:rPr>
        <w:t xml:space="preserve"> A, Gill Toor A, et al. Sociodemographic differences in patient experience with virtual care during COVID-19 [Preprint]. </w:t>
      </w:r>
      <w:proofErr w:type="spellStart"/>
      <w:r>
        <w:rPr>
          <w:sz w:val="22"/>
          <w:szCs w:val="22"/>
        </w:rPr>
        <w:t>medRxiv</w:t>
      </w:r>
      <w:proofErr w:type="spellEnd"/>
      <w:r>
        <w:rPr>
          <w:sz w:val="22"/>
          <w:szCs w:val="22"/>
        </w:rPr>
        <w:t xml:space="preserve"> 2021 Jul 22 [cited 2022 May 12]. Available from: </w:t>
      </w:r>
      <w:r>
        <w:rPr>
          <w:color w:val="0562C1"/>
          <w:sz w:val="22"/>
          <w:szCs w:val="22"/>
        </w:rPr>
        <w:t>www.medrxiv.org/content/10.1101/2021.07.19.21260373v1</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C5CB" w14:textId="70A1B540" w:rsidR="005056D7" w:rsidRDefault="00CA6E08">
    <w:pPr>
      <w:pStyle w:val="Header"/>
    </w:pPr>
    <w:r w:rsidRPr="00182E3A">
      <w:rPr>
        <w:noProof/>
        <w:sz w:val="20"/>
      </w:rPr>
      <mc:AlternateContent>
        <mc:Choice Requires="wps">
          <w:drawing>
            <wp:anchor distT="45720" distB="45720" distL="114300" distR="114300" simplePos="0" relativeHeight="251660288" behindDoc="0" locked="0" layoutInCell="1" allowOverlap="1" wp14:anchorId="220BFFDE" wp14:editId="3200882A">
              <wp:simplePos x="0" y="0"/>
              <wp:positionH relativeFrom="column">
                <wp:posOffset>1739900</wp:posOffset>
              </wp:positionH>
              <wp:positionV relativeFrom="paragraph">
                <wp:posOffset>-87630</wp:posOffset>
              </wp:positionV>
              <wp:extent cx="62674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noFill/>
                      <a:ln w="9525">
                        <a:noFill/>
                        <a:miter lim="800000"/>
                        <a:headEnd/>
                        <a:tailEnd/>
                      </a:ln>
                    </wps:spPr>
                    <wps:txbx>
                      <w:txbxContent>
                        <w:p w14:paraId="12B63C3E" w14:textId="58BBBD46" w:rsidR="005056D7" w:rsidRDefault="00CA6E08" w:rsidP="005056D7">
                          <w:r w:rsidRPr="00CA6E08">
                            <w:rPr>
                              <w:color w:val="FFFFFF" w:themeColor="background1"/>
                              <w:sz w:val="44"/>
                              <w:szCs w:val="44"/>
                            </w:rPr>
                            <w:t xml:space="preserve">Ontario Health: Patient Context </w:t>
                          </w:r>
                          <w:r>
                            <w:rPr>
                              <w:color w:val="FFFFFF" w:themeColor="background1"/>
                              <w:sz w:val="44"/>
                              <w:szCs w:val="44"/>
                            </w:rPr>
                            <w:br/>
                          </w:r>
                          <w:r w:rsidRPr="00CA6E08">
                            <w:rPr>
                              <w:color w:val="FFFFFF" w:themeColor="background1"/>
                              <w:sz w:val="44"/>
                              <w:szCs w:val="44"/>
                            </w:rPr>
                            <w:t>and Considerations for Virtual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BFFDE" id="_x0000_t202" coordsize="21600,21600" o:spt="202" path="m,l,21600r21600,l21600,xe">
              <v:stroke joinstyle="miter"/>
              <v:path gradientshapeok="t" o:connecttype="rect"/>
            </v:shapetype>
            <v:shape id="Text Box 2" o:spid="_x0000_s1026" type="#_x0000_t202" style="position:absolute;margin-left:137pt;margin-top:-6.9pt;width:49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3+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" filled="f" stroked="f">
              <v:textbox style="mso-fit-shape-to-text:t">
                <w:txbxContent>
                  <w:p w14:paraId="12B63C3E" w14:textId="58BBBD46" w:rsidR="005056D7" w:rsidRDefault="00CA6E08" w:rsidP="005056D7">
                    <w:r w:rsidRPr="00CA6E08">
                      <w:rPr>
                        <w:color w:val="FFFFFF" w:themeColor="background1"/>
                        <w:sz w:val="44"/>
                        <w:szCs w:val="44"/>
                      </w:rPr>
                      <w:t xml:space="preserve">Ontario Health: Patient Context </w:t>
                    </w:r>
                    <w:r>
                      <w:rPr>
                        <w:color w:val="FFFFFF" w:themeColor="background1"/>
                        <w:sz w:val="44"/>
                        <w:szCs w:val="44"/>
                      </w:rPr>
                      <w:br/>
                    </w:r>
                    <w:r w:rsidRPr="00CA6E08">
                      <w:rPr>
                        <w:color w:val="FFFFFF" w:themeColor="background1"/>
                        <w:sz w:val="44"/>
                        <w:szCs w:val="44"/>
                      </w:rPr>
                      <w:t>and Considerations for Virtual Care</w:t>
                    </w:r>
                  </w:p>
                </w:txbxContent>
              </v:textbox>
            </v:shape>
          </w:pict>
        </mc:Fallback>
      </mc:AlternateContent>
    </w:r>
    <w:r w:rsidR="005056D7">
      <w:rPr>
        <w:noProof/>
      </w:rPr>
      <w:drawing>
        <wp:anchor distT="0" distB="0" distL="0" distR="0" simplePos="0" relativeHeight="251662336" behindDoc="0" locked="0" layoutInCell="1" allowOverlap="1" wp14:anchorId="4C76036C" wp14:editId="180472F9">
          <wp:simplePos x="0" y="0"/>
          <wp:positionH relativeFrom="page">
            <wp:posOffset>469900</wp:posOffset>
          </wp:positionH>
          <wp:positionV relativeFrom="paragraph">
            <wp:posOffset>-45085</wp:posOffset>
          </wp:positionV>
          <wp:extent cx="1785620" cy="614680"/>
          <wp:effectExtent l="0" t="0" r="5080" b="0"/>
          <wp:wrapNone/>
          <wp:docPr id="1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785620" cy="614680"/>
                  </a:xfrm>
                  <a:prstGeom prst="rect">
                    <a:avLst/>
                  </a:prstGeom>
                </pic:spPr>
              </pic:pic>
            </a:graphicData>
          </a:graphic>
        </wp:anchor>
      </w:drawing>
    </w:r>
    <w:r w:rsidR="005056D7">
      <w:rPr>
        <w:noProof/>
      </w:rPr>
      <mc:AlternateContent>
        <mc:Choice Requires="wps">
          <w:drawing>
            <wp:anchor distT="0" distB="0" distL="114300" distR="114300" simplePos="0" relativeHeight="251659264" behindDoc="0" locked="0" layoutInCell="1" allowOverlap="1" wp14:anchorId="10E7F159" wp14:editId="6C7C3583">
              <wp:simplePos x="0" y="0"/>
              <wp:positionH relativeFrom="column">
                <wp:posOffset>-901700</wp:posOffset>
              </wp:positionH>
              <wp:positionV relativeFrom="paragraph">
                <wp:posOffset>-457835</wp:posOffset>
              </wp:positionV>
              <wp:extent cx="7893050" cy="1428750"/>
              <wp:effectExtent l="0" t="0" r="0" b="0"/>
              <wp:wrapNone/>
              <wp:docPr id="3" name="Rectangle 3"/>
              <wp:cNvGraphicFramePr/>
              <a:graphic xmlns:a="http://schemas.openxmlformats.org/drawingml/2006/main">
                <a:graphicData uri="http://schemas.microsoft.com/office/word/2010/wordprocessingShape">
                  <wps:wsp>
                    <wps:cNvSpPr/>
                    <wps:spPr>
                      <a:xfrm>
                        <a:off x="0" y="0"/>
                        <a:ext cx="7893050" cy="14287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0413" id="Rectangle 3" o:spid="_x0000_s1026" style="position:absolute;margin-left:-71pt;margin-top:-36.05pt;width:62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" fillcolor="#2e74b5 [240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800"/>
    <w:multiLevelType w:val="hybridMultilevel"/>
    <w:tmpl w:val="279E3848"/>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9825AD"/>
    <w:multiLevelType w:val="hybridMultilevel"/>
    <w:tmpl w:val="0F2A2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CE5B31"/>
    <w:multiLevelType w:val="hybridMultilevel"/>
    <w:tmpl w:val="BFD04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D7D7B6A"/>
    <w:multiLevelType w:val="hybridMultilevel"/>
    <w:tmpl w:val="185248B6"/>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7001836">
    <w:abstractNumId w:val="1"/>
  </w:num>
  <w:num w:numId="2" w16cid:durableId="1563365378">
    <w:abstractNumId w:val="2"/>
  </w:num>
  <w:num w:numId="3" w16cid:durableId="1541278910">
    <w:abstractNumId w:val="3"/>
  </w:num>
  <w:num w:numId="4" w16cid:durableId="51769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7"/>
    <w:rsid w:val="0022465E"/>
    <w:rsid w:val="004F33CE"/>
    <w:rsid w:val="005056D7"/>
    <w:rsid w:val="00546618"/>
    <w:rsid w:val="006541B6"/>
    <w:rsid w:val="00937169"/>
    <w:rsid w:val="00A00DD2"/>
    <w:rsid w:val="00A20D89"/>
    <w:rsid w:val="00AD6EC0"/>
    <w:rsid w:val="00CA6E08"/>
    <w:rsid w:val="00E22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FAD1A"/>
  <w15:chartTrackingRefBased/>
  <w15:docId w15:val="{AC0CA849-9D54-40B8-B9DC-1994A6E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18"/>
    <w:pPr>
      <w:widowControl w:val="0"/>
      <w:autoSpaceDE w:val="0"/>
      <w:autoSpaceDN w:val="0"/>
      <w:spacing w:after="0" w:line="240" w:lineRule="auto"/>
    </w:pPr>
    <w:rPr>
      <w:rFonts w:ascii="Calibri" w:hAnsi="Calibri" w:cs="Book Antiqua"/>
      <w:color w:val="000000" w:themeColor="text1"/>
      <w:sz w:val="24"/>
      <w:lang w:val="en-US"/>
    </w:rPr>
  </w:style>
  <w:style w:type="paragraph" w:styleId="Heading2">
    <w:name w:val="heading 2"/>
    <w:basedOn w:val="Normal"/>
    <w:next w:val="Normal"/>
    <w:link w:val="Heading2Char"/>
    <w:autoRedefine/>
    <w:uiPriority w:val="9"/>
    <w:unhideWhenUsed/>
    <w:qFormat/>
    <w:rsid w:val="005056D7"/>
    <w:pPr>
      <w:keepNext/>
      <w:keepLines/>
      <w:spacing w:before="240" w:after="120"/>
      <w:outlineLvl w:val="1"/>
    </w:pPr>
    <w:rPr>
      <w:rFonts w:asciiTheme="minorHAnsi" w:eastAsiaTheme="majorEastAsia" w:hAnsiTheme="minorHAnsi"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6D7"/>
    <w:pPr>
      <w:tabs>
        <w:tab w:val="center" w:pos="4680"/>
        <w:tab w:val="right" w:pos="9360"/>
      </w:tabs>
    </w:pPr>
  </w:style>
  <w:style w:type="character" w:customStyle="1" w:styleId="HeaderChar">
    <w:name w:val="Header Char"/>
    <w:basedOn w:val="DefaultParagraphFont"/>
    <w:link w:val="Header"/>
    <w:uiPriority w:val="99"/>
    <w:rsid w:val="005056D7"/>
    <w:rPr>
      <w:rFonts w:ascii="Calibri" w:hAnsi="Calibri" w:cs="Book Antiqua"/>
      <w:color w:val="000000" w:themeColor="text1"/>
      <w:sz w:val="24"/>
      <w:lang w:val="en-US"/>
    </w:rPr>
  </w:style>
  <w:style w:type="paragraph" w:styleId="Footer">
    <w:name w:val="footer"/>
    <w:basedOn w:val="Normal"/>
    <w:link w:val="FooterChar"/>
    <w:uiPriority w:val="99"/>
    <w:unhideWhenUsed/>
    <w:rsid w:val="005056D7"/>
    <w:pPr>
      <w:tabs>
        <w:tab w:val="center" w:pos="4680"/>
        <w:tab w:val="right" w:pos="9360"/>
      </w:tabs>
    </w:pPr>
  </w:style>
  <w:style w:type="character" w:customStyle="1" w:styleId="FooterChar">
    <w:name w:val="Footer Char"/>
    <w:basedOn w:val="DefaultParagraphFont"/>
    <w:link w:val="Footer"/>
    <w:uiPriority w:val="99"/>
    <w:rsid w:val="005056D7"/>
    <w:rPr>
      <w:rFonts w:ascii="Calibri" w:hAnsi="Calibri" w:cs="Book Antiqua"/>
      <w:color w:val="000000" w:themeColor="text1"/>
      <w:sz w:val="24"/>
      <w:lang w:val="en-US"/>
    </w:rPr>
  </w:style>
  <w:style w:type="character" w:customStyle="1" w:styleId="Heading2Char">
    <w:name w:val="Heading 2 Char"/>
    <w:basedOn w:val="DefaultParagraphFont"/>
    <w:link w:val="Heading2"/>
    <w:uiPriority w:val="9"/>
    <w:rsid w:val="005056D7"/>
    <w:rPr>
      <w:rFonts w:eastAsiaTheme="majorEastAsia" w:cstheme="majorBidi"/>
      <w:b/>
      <w:color w:val="2F5496" w:themeColor="accent1" w:themeShade="BF"/>
      <w:sz w:val="32"/>
      <w:szCs w:val="26"/>
      <w:lang w:val="en-US"/>
    </w:rPr>
  </w:style>
  <w:style w:type="paragraph" w:styleId="NormalWeb">
    <w:name w:val="Normal (Web)"/>
    <w:basedOn w:val="Normal"/>
    <w:uiPriority w:val="99"/>
    <w:semiHidden/>
    <w:unhideWhenUsed/>
    <w:rsid w:val="005056D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styleId="Hyperlink">
    <w:name w:val="Hyperlink"/>
    <w:basedOn w:val="DefaultParagraphFont"/>
    <w:uiPriority w:val="99"/>
    <w:unhideWhenUsed/>
    <w:rsid w:val="005056D7"/>
    <w:rPr>
      <w:color w:val="0000FF"/>
      <w:u w:val="single"/>
    </w:rPr>
  </w:style>
  <w:style w:type="paragraph" w:styleId="ListParagraph">
    <w:name w:val="List Paragraph"/>
    <w:basedOn w:val="Normal"/>
    <w:uiPriority w:val="34"/>
    <w:qFormat/>
    <w:rsid w:val="005056D7"/>
    <w:pPr>
      <w:ind w:left="720"/>
      <w:contextualSpacing/>
    </w:pPr>
  </w:style>
  <w:style w:type="character" w:customStyle="1" w:styleId="views-label">
    <w:name w:val="views-label"/>
    <w:basedOn w:val="DefaultParagraphFont"/>
    <w:rsid w:val="00AD6EC0"/>
  </w:style>
  <w:style w:type="character" w:customStyle="1" w:styleId="field-content">
    <w:name w:val="field-content"/>
    <w:basedOn w:val="DefaultParagraphFont"/>
    <w:rsid w:val="00AD6EC0"/>
  </w:style>
  <w:style w:type="character" w:styleId="UnresolvedMention">
    <w:name w:val="Unresolved Mention"/>
    <w:basedOn w:val="DefaultParagraphFont"/>
    <w:uiPriority w:val="99"/>
    <w:semiHidden/>
    <w:unhideWhenUsed/>
    <w:rsid w:val="00E22C02"/>
    <w:rPr>
      <w:color w:val="605E5C"/>
      <w:shd w:val="clear" w:color="auto" w:fill="E1DFDD"/>
    </w:rPr>
  </w:style>
  <w:style w:type="paragraph" w:customStyle="1" w:styleId="TableParagraph">
    <w:name w:val="Table Paragraph"/>
    <w:basedOn w:val="Normal"/>
    <w:uiPriority w:val="1"/>
    <w:qFormat/>
    <w:rsid w:val="00E22C02"/>
    <w:pPr>
      <w:spacing w:before="58"/>
      <w:ind w:left="119"/>
    </w:pPr>
    <w:rPr>
      <w:rFonts w:eastAsia="Calibri" w:cs="Calibri"/>
      <w:color w:val="auto"/>
      <w:sz w:val="22"/>
    </w:rPr>
  </w:style>
  <w:style w:type="paragraph" w:styleId="FootnoteText">
    <w:name w:val="footnote text"/>
    <w:basedOn w:val="Normal"/>
    <w:link w:val="FootnoteTextChar"/>
    <w:uiPriority w:val="99"/>
    <w:semiHidden/>
    <w:unhideWhenUsed/>
    <w:rsid w:val="00E22C02"/>
    <w:rPr>
      <w:sz w:val="20"/>
      <w:szCs w:val="20"/>
    </w:rPr>
  </w:style>
  <w:style w:type="character" w:customStyle="1" w:styleId="FootnoteTextChar">
    <w:name w:val="Footnote Text Char"/>
    <w:basedOn w:val="DefaultParagraphFont"/>
    <w:link w:val="FootnoteText"/>
    <w:uiPriority w:val="99"/>
    <w:semiHidden/>
    <w:rsid w:val="00E22C02"/>
    <w:rPr>
      <w:rFonts w:ascii="Calibri" w:hAnsi="Calibri" w:cs="Book Antiqua"/>
      <w:color w:val="000000" w:themeColor="text1"/>
      <w:sz w:val="20"/>
      <w:szCs w:val="20"/>
      <w:lang w:val="en-US"/>
    </w:rPr>
  </w:style>
  <w:style w:type="character" w:styleId="FootnoteReference">
    <w:name w:val="footnote reference"/>
    <w:basedOn w:val="DefaultParagraphFont"/>
    <w:uiPriority w:val="99"/>
    <w:semiHidden/>
    <w:unhideWhenUsed/>
    <w:rsid w:val="00E22C02"/>
    <w:rPr>
      <w:vertAlign w:val="superscript"/>
    </w:rPr>
  </w:style>
  <w:style w:type="character" w:styleId="FollowedHyperlink">
    <w:name w:val="FollowedHyperlink"/>
    <w:basedOn w:val="DefaultParagraphFont"/>
    <w:uiPriority w:val="99"/>
    <w:semiHidden/>
    <w:unhideWhenUsed/>
    <w:rsid w:val="0054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22">
      <w:bodyDiv w:val="1"/>
      <w:marLeft w:val="0"/>
      <w:marRight w:val="0"/>
      <w:marTop w:val="0"/>
      <w:marBottom w:val="0"/>
      <w:divBdr>
        <w:top w:val="none" w:sz="0" w:space="0" w:color="auto"/>
        <w:left w:val="none" w:sz="0" w:space="0" w:color="auto"/>
        <w:bottom w:val="none" w:sz="0" w:space="0" w:color="auto"/>
        <w:right w:val="none" w:sz="0" w:space="0" w:color="auto"/>
      </w:divBdr>
      <w:divsChild>
        <w:div w:id="475877135">
          <w:marLeft w:val="0"/>
          <w:marRight w:val="0"/>
          <w:marTop w:val="0"/>
          <w:marBottom w:val="600"/>
          <w:divBdr>
            <w:top w:val="none" w:sz="0" w:space="0" w:color="auto"/>
            <w:left w:val="none" w:sz="0" w:space="0" w:color="auto"/>
            <w:bottom w:val="none" w:sz="0" w:space="0" w:color="auto"/>
            <w:right w:val="none" w:sz="0" w:space="0" w:color="auto"/>
          </w:divBdr>
          <w:divsChild>
            <w:div w:id="659700154">
              <w:marLeft w:val="0"/>
              <w:marRight w:val="0"/>
              <w:marTop w:val="0"/>
              <w:marBottom w:val="0"/>
              <w:divBdr>
                <w:top w:val="none" w:sz="0" w:space="0" w:color="auto"/>
                <w:left w:val="none" w:sz="0" w:space="0" w:color="auto"/>
                <w:bottom w:val="none" w:sz="0" w:space="0" w:color="auto"/>
                <w:right w:val="none" w:sz="0" w:space="0" w:color="auto"/>
              </w:divBdr>
            </w:div>
          </w:divsChild>
        </w:div>
        <w:div w:id="2040351272">
          <w:marLeft w:val="0"/>
          <w:marRight w:val="0"/>
          <w:marTop w:val="0"/>
          <w:marBottom w:val="0"/>
          <w:divBdr>
            <w:top w:val="none" w:sz="0" w:space="0" w:color="auto"/>
            <w:left w:val="none" w:sz="0" w:space="0" w:color="auto"/>
            <w:bottom w:val="none" w:sz="0" w:space="0" w:color="auto"/>
            <w:right w:val="none" w:sz="0" w:space="0" w:color="auto"/>
          </w:divBdr>
          <w:divsChild>
            <w:div w:id="432671684">
              <w:marLeft w:val="0"/>
              <w:marRight w:val="0"/>
              <w:marTop w:val="0"/>
              <w:marBottom w:val="0"/>
              <w:divBdr>
                <w:top w:val="none" w:sz="0" w:space="0" w:color="auto"/>
                <w:left w:val="none" w:sz="0" w:space="0" w:color="auto"/>
                <w:bottom w:val="none" w:sz="0" w:space="0" w:color="auto"/>
                <w:right w:val="none" w:sz="0" w:space="0" w:color="auto"/>
              </w:divBdr>
              <w:divsChild>
                <w:div w:id="241111912">
                  <w:marLeft w:val="0"/>
                  <w:marRight w:val="0"/>
                  <w:marTop w:val="0"/>
                  <w:marBottom w:val="0"/>
                  <w:divBdr>
                    <w:top w:val="none" w:sz="0" w:space="0" w:color="auto"/>
                    <w:left w:val="none" w:sz="0" w:space="0" w:color="auto"/>
                    <w:bottom w:val="none" w:sz="0" w:space="0" w:color="auto"/>
                    <w:right w:val="none" w:sz="0" w:space="0" w:color="auto"/>
                  </w:divBdr>
                  <w:divsChild>
                    <w:div w:id="54089301">
                      <w:marLeft w:val="0"/>
                      <w:marRight w:val="0"/>
                      <w:marTop w:val="0"/>
                      <w:marBottom w:val="0"/>
                      <w:divBdr>
                        <w:top w:val="none" w:sz="0" w:space="0" w:color="auto"/>
                        <w:left w:val="none" w:sz="0" w:space="0" w:color="auto"/>
                        <w:bottom w:val="none" w:sz="0" w:space="0" w:color="auto"/>
                        <w:right w:val="none" w:sz="0" w:space="0" w:color="auto"/>
                      </w:divBdr>
                      <w:divsChild>
                        <w:div w:id="422728259">
                          <w:marLeft w:val="0"/>
                          <w:marRight w:val="0"/>
                          <w:marTop w:val="0"/>
                          <w:marBottom w:val="0"/>
                          <w:divBdr>
                            <w:top w:val="none" w:sz="0" w:space="0" w:color="auto"/>
                            <w:left w:val="none" w:sz="0" w:space="0" w:color="auto"/>
                            <w:bottom w:val="none" w:sz="0" w:space="0" w:color="auto"/>
                            <w:right w:val="none" w:sz="0" w:space="0" w:color="auto"/>
                          </w:divBdr>
                        </w:div>
                        <w:div w:id="626739972">
                          <w:marLeft w:val="0"/>
                          <w:marRight w:val="0"/>
                          <w:marTop w:val="0"/>
                          <w:marBottom w:val="0"/>
                          <w:divBdr>
                            <w:top w:val="none" w:sz="0" w:space="0" w:color="auto"/>
                            <w:left w:val="none" w:sz="0" w:space="0" w:color="auto"/>
                            <w:bottom w:val="none" w:sz="0" w:space="0" w:color="auto"/>
                            <w:right w:val="none" w:sz="0" w:space="0" w:color="auto"/>
                          </w:divBdr>
                        </w:div>
                        <w:div w:id="1867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33329">
      <w:bodyDiv w:val="1"/>
      <w:marLeft w:val="0"/>
      <w:marRight w:val="0"/>
      <w:marTop w:val="0"/>
      <w:marBottom w:val="0"/>
      <w:divBdr>
        <w:top w:val="none" w:sz="0" w:space="0" w:color="auto"/>
        <w:left w:val="none" w:sz="0" w:space="0" w:color="auto"/>
        <w:bottom w:val="none" w:sz="0" w:space="0" w:color="auto"/>
        <w:right w:val="none" w:sz="0" w:space="0" w:color="auto"/>
      </w:divBdr>
    </w:div>
    <w:div w:id="21292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health.ca/sites/ontariohealth/files/2022-11/ClinicallyAppropriateUseVirtualCarePrimaryCa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0EEB-587D-472E-892E-CC2D995D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5</cp:revision>
  <dcterms:created xsi:type="dcterms:W3CDTF">2023-01-26T16:26:00Z</dcterms:created>
  <dcterms:modified xsi:type="dcterms:W3CDTF">2023-01-26T17:14:00Z</dcterms:modified>
</cp:coreProperties>
</file>